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6841E">
      <w:pPr>
        <w:pStyle w:val="4"/>
        <w:widowControl/>
        <w:rPr>
          <w:rFonts w:hint="default" w:ascii="方正小标宋简体" w:hAnsi="Times New Roman" w:eastAsia="方正小标宋简体"/>
        </w:rPr>
      </w:pPr>
      <w:r>
        <w:rPr>
          <w:rFonts w:ascii="方正小标宋简体" w:hAnsi="Times New Roman" w:eastAsia="方正小标宋简体"/>
        </w:rPr>
        <w:t>全国煤炭交易中心交易分析师招募说明</w:t>
      </w:r>
    </w:p>
    <w:p w14:paraId="05276551">
      <w:pPr>
        <w:pStyle w:val="5"/>
        <w:widowControl/>
        <w:rPr>
          <w:rFonts w:ascii="Times New Roman" w:hAnsi="Times New Roman" w:eastAsia="仿宋_GB2312"/>
        </w:rPr>
      </w:pPr>
    </w:p>
    <w:p w14:paraId="536695FD">
      <w:pPr>
        <w:pStyle w:val="6"/>
        <w:widowControl/>
        <w:rPr>
          <w:rFonts w:ascii="黑体" w:hAnsi="黑体" w:eastAsia="黑体"/>
        </w:rPr>
      </w:pPr>
      <w:r>
        <w:rPr>
          <w:rFonts w:hint="default" w:ascii="黑体" w:hAnsi="黑体" w:eastAsia="黑体"/>
        </w:rPr>
        <w:t>一、招募对象及基本要求</w:t>
      </w:r>
    </w:p>
    <w:p w14:paraId="2194E247">
      <w:pPr>
        <w:pStyle w:val="7"/>
        <w:widowControl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从事煤炭生产、贸易、物流、消费等产业链相关工作的专业人士，熟悉了解煤炭市场供需格局、价格波动、区域价差及政策影响等，具备独立分析和逻辑判断能力，能够结合公开市场数据，客观审慎的形成有价值的研判观点。</w:t>
      </w:r>
    </w:p>
    <w:p w14:paraId="67B98FB0">
      <w:pPr>
        <w:pStyle w:val="6"/>
        <w:widowControl/>
        <w:rPr>
          <w:rFonts w:ascii="黑体" w:hAnsi="黑体" w:eastAsia="黑体"/>
        </w:rPr>
      </w:pPr>
      <w:r>
        <w:rPr>
          <w:rFonts w:hint="default" w:ascii="黑体" w:hAnsi="黑体" w:eastAsia="黑体"/>
        </w:rPr>
        <w:t>二、主要工作</w:t>
      </w:r>
      <w:r>
        <w:rPr>
          <w:rFonts w:ascii="黑体" w:hAnsi="黑体" w:eastAsia="黑体"/>
        </w:rPr>
        <w:t>内容</w:t>
      </w:r>
    </w:p>
    <w:p w14:paraId="54CA413B">
      <w:pPr>
        <w:pStyle w:val="6"/>
        <w:widowControl/>
        <w:rPr>
          <w:rFonts w:hint="default" w:ascii="Times New Roman" w:hAnsi="Times New Roman" w:eastAsia="仿宋_GB2312"/>
        </w:rPr>
      </w:pPr>
      <w:bookmarkStart w:id="0" w:name="OLE_LINK3"/>
      <w:r>
        <w:rPr>
          <w:rStyle w:val="8"/>
          <w:rFonts w:hint="eastAsia" w:ascii="楷体" w:hAnsi="楷体" w:eastAsia="楷体"/>
        </w:rPr>
        <w:t>（一）</w:t>
      </w:r>
      <w:bookmarkEnd w:id="0"/>
      <w:r>
        <w:rPr>
          <w:rStyle w:val="8"/>
          <w:rFonts w:hint="eastAsia" w:ascii="楷体" w:hAnsi="楷体" w:eastAsia="楷体"/>
        </w:rPr>
        <w:t>市场动态跟踪</w:t>
      </w:r>
      <w:r>
        <w:rPr>
          <w:rFonts w:hint="default" w:ascii="Times New Roman" w:hAnsi="Times New Roman" w:eastAsia="仿宋_GB2312"/>
        </w:rPr>
        <w:t>：基于供需结构、政策、成本等变量，分析全国及重点区域煤炭价格走势、区域价差驱动因素等；</w:t>
      </w:r>
    </w:p>
    <w:p w14:paraId="6E355CA8">
      <w:pPr>
        <w:pStyle w:val="6"/>
        <w:rPr>
          <w:rFonts w:hint="default" w:ascii="Times New Roman" w:hAnsi="Times New Roman" w:eastAsia="仿宋_GB2312"/>
        </w:rPr>
      </w:pPr>
      <w:r>
        <w:rPr>
          <w:rStyle w:val="8"/>
          <w:rFonts w:hint="eastAsia" w:ascii="楷体" w:hAnsi="楷体" w:eastAsia="楷体"/>
        </w:rPr>
        <w:t>（二）交易策略设计</w:t>
      </w:r>
      <w:r>
        <w:rPr>
          <w:rFonts w:hint="default" w:ascii="Times New Roman" w:hAnsi="Times New Roman" w:eastAsia="仿宋_GB2312"/>
        </w:rPr>
        <w:t>：结合交易中心</w:t>
      </w:r>
      <w:r>
        <w:rPr>
          <w:rFonts w:ascii="Times New Roman" w:hAnsi="Times New Roman" w:eastAsia="仿宋_GB2312"/>
        </w:rPr>
        <w:t>创新交易模式</w:t>
      </w:r>
      <w:r>
        <w:rPr>
          <w:rFonts w:hint="default" w:ascii="Times New Roman" w:hAnsi="Times New Roman" w:eastAsia="仿宋_GB2312"/>
        </w:rPr>
        <w:t>、智能分析系统</w:t>
      </w:r>
      <w:r>
        <w:rPr>
          <w:rFonts w:ascii="Times New Roman" w:hAnsi="Times New Roman" w:eastAsia="仿宋_GB2312"/>
        </w:rPr>
        <w:t>等</w:t>
      </w:r>
      <w:r>
        <w:rPr>
          <w:rFonts w:hint="default" w:ascii="Times New Roman" w:hAnsi="Times New Roman" w:eastAsia="仿宋_GB2312"/>
        </w:rPr>
        <w:t>，研究价格</w:t>
      </w:r>
      <w:r>
        <w:rPr>
          <w:rFonts w:ascii="Times New Roman" w:hAnsi="Times New Roman" w:eastAsia="仿宋_GB2312"/>
        </w:rPr>
        <w:t>趋势、</w:t>
      </w:r>
      <w:r>
        <w:rPr>
          <w:rFonts w:hint="default" w:ascii="Times New Roman" w:hAnsi="Times New Roman" w:eastAsia="仿宋_GB2312"/>
        </w:rPr>
        <w:t>交易策略、套利</w:t>
      </w:r>
      <w:r>
        <w:rPr>
          <w:rFonts w:ascii="Times New Roman" w:hAnsi="Times New Roman" w:eastAsia="仿宋_GB2312"/>
        </w:rPr>
        <w:t>方案</w:t>
      </w:r>
      <w:r>
        <w:rPr>
          <w:rFonts w:hint="default" w:ascii="Times New Roman" w:hAnsi="Times New Roman" w:eastAsia="仿宋_GB2312"/>
        </w:rPr>
        <w:t>等，</w:t>
      </w:r>
      <w:r>
        <w:rPr>
          <w:rFonts w:ascii="Times New Roman" w:hAnsi="Times New Roman" w:eastAsia="仿宋_GB2312"/>
        </w:rPr>
        <w:t>搭建科学的交易分析模型，</w:t>
      </w:r>
      <w:r>
        <w:rPr>
          <w:rFonts w:hint="default" w:ascii="Times New Roman" w:hAnsi="Times New Roman" w:eastAsia="仿宋_GB2312"/>
        </w:rPr>
        <w:t>为企业提供交易操作建议方案；</w:t>
      </w:r>
    </w:p>
    <w:p w14:paraId="10308C46">
      <w:pPr>
        <w:pStyle w:val="6"/>
        <w:rPr>
          <w:rFonts w:hint="default" w:ascii="Times New Roman" w:hAnsi="Times New Roman" w:eastAsia="仿宋_GB2312"/>
        </w:rPr>
      </w:pPr>
      <w:r>
        <w:rPr>
          <w:rStyle w:val="8"/>
          <w:rFonts w:hint="eastAsia" w:ascii="楷体" w:hAnsi="楷体" w:eastAsia="楷体"/>
        </w:rPr>
        <w:t>（三）成果传播与赋能：</w:t>
      </w:r>
      <w:r>
        <w:rPr>
          <w:rFonts w:hint="default" w:ascii="Times New Roman" w:hAnsi="Times New Roman" w:eastAsia="仿宋_GB2312"/>
        </w:rPr>
        <w:t>通过交易中心官方平台发布分析观点、策略报告</w:t>
      </w:r>
      <w:r>
        <w:rPr>
          <w:rFonts w:ascii="Times New Roman" w:hAnsi="Times New Roman" w:eastAsia="仿宋_GB2312"/>
        </w:rPr>
        <w:t>及研究成果</w:t>
      </w:r>
      <w:r>
        <w:rPr>
          <w:rFonts w:hint="default" w:ascii="Times New Roman" w:hAnsi="Times New Roman" w:eastAsia="仿宋_GB2312"/>
        </w:rPr>
        <w:t>等，为市场参与者提供决策参考；</w:t>
      </w:r>
    </w:p>
    <w:p w14:paraId="31821AFE">
      <w:pPr>
        <w:pStyle w:val="6"/>
        <w:widowControl/>
        <w:rPr>
          <w:rFonts w:hint="default" w:ascii="Times New Roman" w:hAnsi="Times New Roman" w:eastAsia="仿宋_GB2312"/>
        </w:rPr>
      </w:pPr>
      <w:r>
        <w:rPr>
          <w:rStyle w:val="8"/>
          <w:rFonts w:hint="eastAsia" w:ascii="楷体" w:hAnsi="楷体" w:eastAsia="楷体"/>
        </w:rPr>
        <w:t>（四）专项研究与协同：</w:t>
      </w:r>
      <w:r>
        <w:rPr>
          <w:rFonts w:hint="default" w:ascii="Times New Roman" w:hAnsi="Times New Roman" w:eastAsia="仿宋_GB2312"/>
        </w:rPr>
        <w:t>参与交易中心组织的市场调研、课题讨论、闭门研讨会议等专项活动</w:t>
      </w:r>
      <w:r>
        <w:rPr>
          <w:rFonts w:ascii="Times New Roman" w:hAnsi="Times New Roman" w:eastAsia="仿宋_GB2312"/>
        </w:rPr>
        <w:t>，配合完成各类专项研究任务；</w:t>
      </w:r>
    </w:p>
    <w:p w14:paraId="675259A3">
      <w:pPr>
        <w:pStyle w:val="6"/>
        <w:rPr>
          <w:rFonts w:hint="default" w:ascii="Times New Roman" w:hAnsi="Times New Roman" w:eastAsia="仿宋_GB2312"/>
        </w:rPr>
      </w:pPr>
      <w:r>
        <w:rPr>
          <w:rStyle w:val="8"/>
          <w:rFonts w:hint="eastAsia" w:ascii="楷体" w:hAnsi="楷体" w:eastAsia="楷体"/>
        </w:rPr>
        <w:t>（五）行业交流与资源对接：</w:t>
      </w:r>
      <w:r>
        <w:rPr>
          <w:rFonts w:ascii="Times New Roman" w:hAnsi="Times New Roman" w:eastAsia="仿宋_GB2312"/>
        </w:rPr>
        <w:t>积极参与行业交流活动，对接行业优质资源，收集市场反馈意见，助力交易中心优化服务体系、提升行业影响力。</w:t>
      </w:r>
    </w:p>
    <w:p w14:paraId="5D45BA79">
      <w:pPr>
        <w:pStyle w:val="6"/>
        <w:widowControl/>
        <w:rPr>
          <w:rFonts w:ascii="黑体" w:hAnsi="黑体" w:eastAsia="黑体"/>
        </w:rPr>
      </w:pPr>
      <w:r>
        <w:rPr>
          <w:rFonts w:hint="default" w:ascii="黑体" w:hAnsi="黑体" w:eastAsia="黑体"/>
        </w:rPr>
        <w:t>三、合作权益与价值回报</w:t>
      </w:r>
    </w:p>
    <w:p w14:paraId="570FA240">
      <w:pPr>
        <w:pStyle w:val="6"/>
        <w:rPr>
          <w:rFonts w:hint="default" w:ascii="Times New Roman" w:hAnsi="Times New Roman" w:eastAsia="仿宋_GB2312"/>
        </w:rPr>
      </w:pPr>
      <w:bookmarkStart w:id="1" w:name="OLE_LINK7"/>
      <w:r>
        <w:rPr>
          <w:rStyle w:val="8"/>
          <w:rFonts w:hint="eastAsia" w:ascii="楷体" w:hAnsi="楷体" w:eastAsia="楷体"/>
        </w:rPr>
        <w:t>（一）</w:t>
      </w:r>
      <w:bookmarkEnd w:id="1"/>
      <w:r>
        <w:rPr>
          <w:rStyle w:val="8"/>
          <w:rFonts w:hint="eastAsia" w:ascii="楷体" w:hAnsi="楷体" w:eastAsia="楷体"/>
        </w:rPr>
        <w:t>数据与研究资源</w:t>
      </w:r>
      <w:r>
        <w:rPr>
          <w:rFonts w:hint="default" w:ascii="Times New Roman" w:hAnsi="Times New Roman" w:eastAsia="仿宋_GB2312"/>
        </w:rPr>
        <w:t>：</w:t>
      </w:r>
      <w:bookmarkStart w:id="2" w:name="OLE_LINK4"/>
      <w:r>
        <w:rPr>
          <w:rFonts w:ascii="Times New Roman" w:hAnsi="Times New Roman" w:eastAsia="仿宋_GB2312"/>
        </w:rPr>
        <w:t>可合规获取</w:t>
      </w:r>
      <w:bookmarkEnd w:id="2"/>
      <w:r>
        <w:rPr>
          <w:rFonts w:ascii="Times New Roman" w:hAnsi="Times New Roman" w:eastAsia="仿宋_GB2312"/>
        </w:rPr>
        <w:t>交易中心平台交易数据、行业供需数据及价格指数数据等专项数据服务。可合规获取交易中心专业研究工具，降低研究成本；</w:t>
      </w:r>
    </w:p>
    <w:p w14:paraId="0DD0597B">
      <w:pPr>
        <w:pStyle w:val="6"/>
        <w:rPr>
          <w:rFonts w:hint="default" w:ascii="Times New Roman" w:hAnsi="Times New Roman" w:eastAsia="仿宋_GB2312"/>
        </w:rPr>
      </w:pPr>
      <w:r>
        <w:rPr>
          <w:rStyle w:val="8"/>
          <w:rFonts w:hint="eastAsia" w:ascii="楷体" w:hAnsi="楷体" w:eastAsia="楷体"/>
        </w:rPr>
        <w:t>（二）品牌与影响力提升</w:t>
      </w:r>
      <w:r>
        <w:rPr>
          <w:rFonts w:hint="default" w:ascii="Times New Roman" w:hAnsi="Times New Roman" w:eastAsia="仿宋_GB2312"/>
        </w:rPr>
        <w:t>：</w:t>
      </w:r>
      <w:r>
        <w:rPr>
          <w:rFonts w:ascii="Times New Roman" w:hAnsi="Times New Roman" w:eastAsia="仿宋_GB2312"/>
        </w:rPr>
        <w:t>获得“全国煤炭交易中心交易分析师”资格</w:t>
      </w:r>
      <w:r>
        <w:rPr>
          <w:rFonts w:hint="default" w:ascii="Times New Roman" w:hAnsi="Times New Roman" w:eastAsia="仿宋_GB2312"/>
        </w:rPr>
        <w:t>，</w:t>
      </w:r>
      <w:r>
        <w:rPr>
          <w:rFonts w:ascii="Times New Roman" w:hAnsi="Times New Roman" w:eastAsia="仿宋_GB2312"/>
        </w:rPr>
        <w:t>提升个人及所在机构在煤炭行业的知名度和专业影响力</w:t>
      </w:r>
      <w:r>
        <w:rPr>
          <w:rFonts w:hint="default" w:ascii="Times New Roman" w:hAnsi="Times New Roman" w:eastAsia="仿宋_GB2312"/>
        </w:rPr>
        <w:t>；</w:t>
      </w:r>
    </w:p>
    <w:p w14:paraId="0D056A33">
      <w:pPr>
        <w:pStyle w:val="6"/>
        <w:rPr>
          <w:rFonts w:hint="default" w:ascii="Times New Roman" w:hAnsi="Times New Roman" w:eastAsia="仿宋_GB2312"/>
        </w:rPr>
      </w:pPr>
      <w:r>
        <w:rPr>
          <w:rStyle w:val="8"/>
          <w:rFonts w:hint="eastAsia" w:ascii="楷体" w:hAnsi="楷体" w:eastAsia="楷体"/>
        </w:rPr>
        <w:t>（三）深度参与权与成长空间</w:t>
      </w:r>
      <w:r>
        <w:rPr>
          <w:rFonts w:hint="default" w:ascii="Times New Roman" w:hAnsi="Times New Roman" w:eastAsia="仿宋_GB2312"/>
        </w:rPr>
        <w:t>：</w:t>
      </w:r>
      <w:r>
        <w:rPr>
          <w:rFonts w:ascii="Times New Roman" w:hAnsi="Times New Roman" w:eastAsia="仿宋_GB2312"/>
        </w:rPr>
        <w:t>优先参与交易中心重大课题研究、交易方案制定、市场调研等核心工作，拓宽行业视野，提升专业能力和行业话语权；</w:t>
      </w:r>
    </w:p>
    <w:p w14:paraId="23C7E7F1">
      <w:pPr>
        <w:pStyle w:val="6"/>
        <w:rPr>
          <w:rFonts w:hint="default" w:ascii="Times New Roman" w:hAnsi="Times New Roman" w:eastAsia="仿宋_GB2312"/>
        </w:rPr>
      </w:pPr>
      <w:r>
        <w:rPr>
          <w:rStyle w:val="8"/>
          <w:rFonts w:hint="eastAsia" w:ascii="楷体" w:hAnsi="楷体" w:eastAsia="楷体"/>
        </w:rPr>
        <w:t>（四）多元化收益回报</w:t>
      </w:r>
      <w:r>
        <w:rPr>
          <w:rFonts w:hint="default" w:ascii="Times New Roman" w:hAnsi="Times New Roman" w:eastAsia="仿宋_GB2312"/>
        </w:rPr>
        <w:t>：</w:t>
      </w:r>
      <w:r>
        <w:rPr>
          <w:rFonts w:ascii="Times New Roman" w:hAnsi="Times New Roman" w:eastAsia="仿宋_GB2312"/>
        </w:rPr>
        <w:t>按照交易中心相关制度规定可获得成果转化收益分成等；</w:t>
      </w:r>
    </w:p>
    <w:p w14:paraId="4719D1FB">
      <w:pPr>
        <w:pStyle w:val="6"/>
        <w:rPr>
          <w:rFonts w:hint="default" w:ascii="Times New Roman" w:hAnsi="Times New Roman" w:eastAsia="仿宋_GB2312"/>
        </w:rPr>
      </w:pPr>
      <w:r>
        <w:rPr>
          <w:rStyle w:val="8"/>
          <w:rFonts w:hint="eastAsia" w:ascii="楷体" w:hAnsi="楷体" w:eastAsia="楷体"/>
        </w:rPr>
        <w:t>（五）高端交流与资源对接</w:t>
      </w:r>
      <w:r>
        <w:rPr>
          <w:rFonts w:hint="default" w:ascii="Times New Roman" w:hAnsi="Times New Roman" w:eastAsia="仿宋_GB2312"/>
        </w:rPr>
        <w:t>：</w:t>
      </w:r>
      <w:r>
        <w:rPr>
          <w:rFonts w:ascii="Times New Roman" w:hAnsi="Times New Roman" w:eastAsia="仿宋_GB2312"/>
        </w:rPr>
        <w:t>受邀出席交易中心组织的闭门研讨会、专家座谈会、行业峰会等高端活动，对接优质行业资源，拓展个人职业发展渠道。</w:t>
      </w:r>
    </w:p>
    <w:p w14:paraId="44996453">
      <w:pPr>
        <w:pStyle w:val="6"/>
        <w:widowControl/>
        <w:rPr>
          <w:rFonts w:ascii="黑体" w:hAnsi="黑体" w:eastAsia="黑体"/>
        </w:rPr>
      </w:pPr>
      <w:r>
        <w:rPr>
          <w:rFonts w:hint="default" w:ascii="黑体" w:hAnsi="黑体" w:eastAsia="黑体"/>
        </w:rPr>
        <w:t>四、报名</w:t>
      </w:r>
      <w:r>
        <w:rPr>
          <w:rFonts w:ascii="黑体" w:hAnsi="黑体" w:eastAsia="黑体"/>
        </w:rPr>
        <w:t>方式</w:t>
      </w:r>
    </w:p>
    <w:p w14:paraId="4BAA8B55">
      <w:pPr>
        <w:pStyle w:val="6"/>
        <w:rPr>
          <w:rFonts w:hint="default" w:ascii="Times New Roman" w:hAnsi="Times New Roman" w:eastAsia="仿宋_GB2312"/>
        </w:rPr>
      </w:pPr>
      <w:r>
        <w:rPr>
          <w:rFonts w:ascii="楷体" w:hAnsi="楷体" w:eastAsia="楷体" w:cs="楷体"/>
        </w:rPr>
        <w:t>（一</w:t>
      </w:r>
      <w:r>
        <w:rPr>
          <w:rStyle w:val="8"/>
          <w:rFonts w:hint="eastAsia" w:ascii="楷体" w:hAnsi="楷体" w:eastAsia="楷体"/>
        </w:rPr>
        <w:t>）机构推荐：</w:t>
      </w:r>
      <w:r>
        <w:rPr>
          <w:rFonts w:ascii="Times New Roman" w:hAnsi="Times New Roman" w:eastAsia="仿宋_GB2312"/>
        </w:rPr>
        <w:t>以机构名义报名，并推荐具体分析师；</w:t>
      </w:r>
    </w:p>
    <w:p w14:paraId="68B02B25">
      <w:pPr>
        <w:pStyle w:val="6"/>
        <w:rPr>
          <w:rFonts w:hint="default" w:ascii="Times New Roman" w:hAnsi="Times New Roman" w:eastAsia="仿宋_GB2312"/>
        </w:rPr>
      </w:pPr>
      <w:r>
        <w:rPr>
          <w:rFonts w:ascii="楷体" w:hAnsi="楷体" w:eastAsia="楷体" w:cs="楷体"/>
        </w:rPr>
        <w:t>（二</w:t>
      </w:r>
      <w:r>
        <w:rPr>
          <w:rStyle w:val="8"/>
          <w:rFonts w:hint="eastAsia" w:ascii="楷体" w:hAnsi="楷体" w:eastAsia="楷体"/>
        </w:rPr>
        <w:t>）个人报名：</w:t>
      </w:r>
      <w:r>
        <w:rPr>
          <w:rFonts w:ascii="Times New Roman" w:hAnsi="Times New Roman" w:eastAsia="仿宋_GB2312"/>
        </w:rPr>
        <w:t>以个人身份报名。</w:t>
      </w:r>
    </w:p>
    <w:p w14:paraId="49742087">
      <w:pPr>
        <w:pStyle w:val="6"/>
        <w:widowControl/>
        <w:rPr>
          <w:rFonts w:hint="default" w:ascii="Times New Roman" w:hAnsi="Times New Roman" w:eastAsia="仿宋_GB2312"/>
        </w:rPr>
      </w:pPr>
      <w:r>
        <w:rPr>
          <w:rFonts w:ascii="Times New Roman" w:hAnsi="Times New Roman" w:eastAsia="仿宋_GB2312"/>
        </w:rPr>
        <w:t>请填写报名表并发送至wangrx@ncexc.com.cn</w:t>
      </w:r>
      <w:r>
        <w:rPr>
          <w:rFonts w:hint="default" w:ascii="Times New Roman" w:hAnsi="Times New Roman" w:eastAsia="仿宋_GB2312"/>
        </w:rPr>
        <w:t>。</w:t>
      </w:r>
    </w:p>
    <w:p w14:paraId="0710BF13">
      <w:pPr>
        <w:pStyle w:val="6"/>
        <w:rPr>
          <w:rFonts w:hint="default" w:ascii="Times New Roman" w:hAnsi="Times New Roman" w:eastAsia="仿宋_GB2312"/>
        </w:rPr>
      </w:pPr>
      <w:r>
        <w:rPr>
          <w:rFonts w:ascii="Times New Roman" w:hAnsi="Times New Roman" w:eastAsia="仿宋_GB2312"/>
        </w:rPr>
        <w:t>说明：报名材料仅用于本次招募审核，交易中心将严格保密报名信息，未经允许不会向第三方泄露。</w:t>
      </w:r>
    </w:p>
    <w:p w14:paraId="287F0230">
      <w:pPr>
        <w:pStyle w:val="6"/>
        <w:widowControl/>
        <w:rPr>
          <w:rFonts w:ascii="黑体" w:hAnsi="黑体" w:eastAsia="黑体"/>
        </w:rPr>
      </w:pPr>
      <w:r>
        <w:rPr>
          <w:rFonts w:ascii="黑体" w:hAnsi="黑体" w:eastAsia="黑体"/>
        </w:rPr>
        <w:t>五</w:t>
      </w:r>
      <w:r>
        <w:rPr>
          <w:rFonts w:hint="default" w:ascii="黑体" w:hAnsi="黑体" w:eastAsia="黑体"/>
        </w:rPr>
        <w:t>、</w:t>
      </w:r>
      <w:r>
        <w:rPr>
          <w:rFonts w:ascii="黑体" w:hAnsi="黑体" w:eastAsia="黑体"/>
        </w:rPr>
        <w:t>资格认定和管理</w:t>
      </w:r>
    </w:p>
    <w:p w14:paraId="2B83AD73">
      <w:pPr>
        <w:pStyle w:val="6"/>
        <w:rPr>
          <w:rFonts w:hint="default" w:ascii="Times New Roman" w:hAnsi="Times New Roman" w:eastAsia="仿宋_GB2312"/>
        </w:rPr>
      </w:pPr>
      <w:bookmarkStart w:id="3" w:name="OLE_LINK2"/>
      <w:r>
        <w:rPr>
          <w:rFonts w:ascii="Times New Roman" w:hAnsi="Times New Roman" w:eastAsia="仿宋_GB2312"/>
        </w:rPr>
        <w:t>（一）初审后，报名者将自动纳入交易中心分析师人才储备库，交易中心从中首批优选20名交易分析师，正式开展合作业务。</w:t>
      </w:r>
    </w:p>
    <w:p w14:paraId="75A1EF96">
      <w:pPr>
        <w:pStyle w:val="6"/>
        <w:rPr>
          <w:rFonts w:hint="default" w:ascii="Times New Roman" w:hAnsi="Times New Roman" w:eastAsia="仿宋_GB2312"/>
        </w:rPr>
      </w:pPr>
      <w:r>
        <w:rPr>
          <w:rFonts w:ascii="Times New Roman" w:hAnsi="Times New Roman" w:eastAsia="仿宋_GB2312"/>
        </w:rPr>
        <w:t>（二）交易中心将与合作机构及个人共同逐步建立完整的分析师管理体系，主要包括分析师团队业务管理制度、收益分配激励机制、成果评估共享体系等，确保分析师团队的专业性、积极性和行业影响力。</w:t>
      </w:r>
    </w:p>
    <w:bookmarkEnd w:id="3"/>
    <w:p w14:paraId="60715363">
      <w:pPr>
        <w:pStyle w:val="6"/>
        <w:ind w:left="720" w:firstLine="0"/>
        <w:rPr>
          <w:rFonts w:hint="default" w:ascii="Times New Roman" w:hAnsi="Times New Roman" w:eastAsia="仿宋_GB2312"/>
        </w:rPr>
      </w:pPr>
    </w:p>
    <w:p w14:paraId="7698ED94">
      <w:pPr>
        <w:pStyle w:val="9"/>
        <w:widowControl/>
        <w:rPr>
          <w:rFonts w:ascii="Times New Roman" w:hAnsi="Times New Roman" w:eastAsia="仿宋_GB2312"/>
        </w:rPr>
      </w:pPr>
    </w:p>
    <w:p w14:paraId="63DF4731">
      <w:pPr>
        <w:pStyle w:val="9"/>
        <w:widowControl/>
        <w:rPr>
          <w:rFonts w:ascii="Times New Roman" w:hAnsi="Times New Roman" w:eastAsia="仿宋_GB2312"/>
        </w:rPr>
      </w:pPr>
    </w:p>
    <w:p w14:paraId="6EFE2D84">
      <w:bookmarkStart w:id="4" w:name="_GoBack"/>
      <w:bookmarkEnd w:id="4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tc">
    <w:altName w:val="Microsoft JhengHei"/>
    <w:panose1 w:val="00000000000000000000"/>
    <w:charset w:val="88"/>
    <w:family w:val="auto"/>
    <w:pitch w:val="default"/>
    <w:sig w:usb0="00000000" w:usb1="00000000" w:usb2="00000017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36A76"/>
    <w:rsid w:val="7C86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"/>
    <w:basedOn w:val="1"/>
    <w:qFormat/>
    <w:uiPriority w:val="0"/>
    <w:pPr>
      <w:spacing w:line="580" w:lineRule="atLeast"/>
      <w:jc w:val="center"/>
    </w:pPr>
    <w:rPr>
      <w:rFonts w:hint="eastAsia" w:ascii="pingfang tc" w:hAnsi="pingfang tc" w:eastAsia="pingfang tc" w:cs="Times New Roman"/>
      <w:color w:val="000000"/>
      <w:kern w:val="0"/>
      <w:sz w:val="44"/>
      <w:szCs w:val="44"/>
    </w:rPr>
  </w:style>
  <w:style w:type="paragraph" w:customStyle="1" w:styleId="5">
    <w:name w:val="p2"/>
    <w:basedOn w:val="1"/>
    <w:qFormat/>
    <w:uiPriority w:val="0"/>
    <w:pPr>
      <w:spacing w:line="580" w:lineRule="atLeast"/>
      <w:ind w:firstLine="640"/>
    </w:pPr>
    <w:rPr>
      <w:rFonts w:ascii="Courier" w:hAnsi="Courier" w:cs="Times New Roman"/>
      <w:color w:val="000000"/>
      <w:kern w:val="0"/>
      <w:sz w:val="32"/>
      <w:szCs w:val="32"/>
    </w:rPr>
  </w:style>
  <w:style w:type="paragraph" w:customStyle="1" w:styleId="6">
    <w:name w:val="p3"/>
    <w:basedOn w:val="1"/>
    <w:qFormat/>
    <w:uiPriority w:val="0"/>
    <w:pPr>
      <w:spacing w:line="580" w:lineRule="atLeast"/>
      <w:ind w:firstLine="640"/>
    </w:pPr>
    <w:rPr>
      <w:rFonts w:hint="eastAsia" w:ascii="pingfang tc" w:hAnsi="pingfang tc" w:eastAsia="pingfang tc" w:cs="Times New Roman"/>
      <w:color w:val="000000"/>
      <w:kern w:val="0"/>
      <w:sz w:val="32"/>
      <w:szCs w:val="32"/>
    </w:rPr>
  </w:style>
  <w:style w:type="paragraph" w:customStyle="1" w:styleId="7">
    <w:name w:val="p4"/>
    <w:basedOn w:val="1"/>
    <w:qFormat/>
    <w:uiPriority w:val="0"/>
    <w:pPr>
      <w:spacing w:line="580" w:lineRule="atLeast"/>
      <w:ind w:firstLine="640"/>
    </w:pPr>
    <w:rPr>
      <w:rFonts w:ascii="Courier" w:hAnsi="Courier" w:cs="Times New Roman"/>
      <w:color w:val="000000"/>
      <w:kern w:val="0"/>
      <w:sz w:val="32"/>
      <w:szCs w:val="32"/>
    </w:rPr>
  </w:style>
  <w:style w:type="character" w:customStyle="1" w:styleId="8">
    <w:name w:val="s1"/>
    <w:basedOn w:val="3"/>
    <w:qFormat/>
    <w:uiPriority w:val="0"/>
    <w:rPr>
      <w:rFonts w:hint="default" w:ascii="Courier" w:hAnsi="Courier" w:cs="Courier"/>
      <w:sz w:val="32"/>
      <w:szCs w:val="32"/>
    </w:rPr>
  </w:style>
  <w:style w:type="paragraph" w:customStyle="1" w:styleId="9">
    <w:name w:val="p8"/>
    <w:basedOn w:val="1"/>
    <w:qFormat/>
    <w:uiPriority w:val="0"/>
    <w:pPr>
      <w:spacing w:line="580" w:lineRule="atLeast"/>
      <w:ind w:firstLine="640"/>
      <w:jc w:val="center"/>
    </w:pPr>
    <w:rPr>
      <w:rFonts w:ascii="Courier" w:hAnsi="Courier" w:cs="Times New Roman"/>
      <w:color w:val="000000"/>
      <w:kern w:val="0"/>
      <w:sz w:val="32"/>
      <w:szCs w:val="32"/>
    </w:rPr>
  </w:style>
  <w:style w:type="paragraph" w:customStyle="1" w:styleId="10">
    <w:name w:val="p9"/>
    <w:basedOn w:val="1"/>
    <w:qFormat/>
    <w:uiPriority w:val="0"/>
    <w:pPr>
      <w:spacing w:line="580" w:lineRule="atLeast"/>
      <w:ind w:firstLine="640"/>
      <w:jc w:val="right"/>
    </w:pPr>
    <w:rPr>
      <w:rFonts w:ascii="pingfang tc" w:hAnsi="pingfang tc" w:eastAsia="pingfang tc" w:cs="Times New Roman"/>
      <w:color w:val="000000"/>
      <w:kern w:val="0"/>
      <w:sz w:val="32"/>
      <w:szCs w:val="32"/>
    </w:rPr>
  </w:style>
  <w:style w:type="paragraph" w:customStyle="1" w:styleId="11">
    <w:name w:val="p10"/>
    <w:basedOn w:val="1"/>
    <w:qFormat/>
    <w:uiPriority w:val="0"/>
    <w:pPr>
      <w:spacing w:line="580" w:lineRule="atLeast"/>
      <w:ind w:firstLine="640"/>
      <w:jc w:val="center"/>
    </w:pPr>
    <w:rPr>
      <w:rFonts w:ascii="Courier" w:hAnsi="Courier" w:cs="Times New Roman"/>
      <w:color w:val="000000"/>
      <w:kern w:val="0"/>
      <w:sz w:val="32"/>
      <w:szCs w:val="32"/>
    </w:rPr>
  </w:style>
  <w:style w:type="character" w:customStyle="1" w:styleId="12">
    <w:name w:val="s4"/>
    <w:basedOn w:val="3"/>
    <w:qFormat/>
    <w:uiPriority w:val="0"/>
    <w:rPr>
      <w:rFonts w:hint="eastAsia" w:ascii="pingfang tc" w:hAnsi="pingfang tc" w:eastAsia="pingfang tc" w:cs="pingfang tc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1014</Words>
  <Characters>1037</Characters>
  <Lines>0</Lines>
  <Paragraphs>0</Paragraphs>
  <TotalTime>0</TotalTime>
  <ScaleCrop>false</ScaleCrop>
  <LinksUpToDate>false</LinksUpToDate>
  <CharactersWithSpaces>1065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2026-05-26T08:04:00Z</dcterms:created>
  <dc:creator>29179</dc:creator>
  <cp:lastModifiedBy>王瑞洵</cp:lastModifiedBy>
  <dcterms:modified xsi:type="dcterms:W3CDTF">2026-06-04T01:05:03Z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eyJoZGlkIjoiYjQ3ZmUyNWJhMDg1MzlhNDE1ODcwYjYyM2FjZTEwYzgiLCJ1c2VySWQiOiIxNDU3NDAyOTMzIn0=</vt:lpwstr>
  </property>
  <property fmtid="{D5CDD505-2E9C-101B-9397-08002B2CF9AE}" pid="4" name="ICV">
    <vt:lpwstr>7F2B42698BB44CFFA5A0986B9E84F2E4_12</vt:lpwstr>
  </property>
</Properties>
</file>